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rPr>
        <w:t>国家职业教育改革实施方案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lang w:eastAsia="zh-CN"/>
        </w:rPr>
      </w:pPr>
      <w:r>
        <w:rPr>
          <w:rFonts w:hint="eastAsia"/>
          <w:sz w:val="24"/>
          <w:szCs w:val="24"/>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总体要求与目标：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具体指标：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一、完善国家职业教育制度体系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（一）健全国家职业教育制度框架。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（二）提高中等职业教育发展水平。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鼓励中等职业学校联合中小学开展劳动和职业启蒙教育，将动手实践内容纳入中小学相关课程和学生综合素质评价。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（三）推进高等职业教育高质量发展。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（四）完善高层次应用型人才培养体系。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二、构建职业教育国家标准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（五）完善教育教学相关标准。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（六）启动1+X证书制度试点工作。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（七）开展高质量职业培训。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（八）实现学习成果的认定、积累和转换。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三、促进产教融合校企“双元”育人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（九）坚持知行合一、工学结合。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（十）推动校企全面加强深度合作。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（十一）打造一批高水平实训基地。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（十二）多措并举打造“双师型”教师队伍。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四、建设多元办学格局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（十三）推动企业和社会力量举办高质量职业教育。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（十四）做优职业教育培训评价组织。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五、完善技术技能人才保障政策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（十五）提高技术技能人才待遇水平。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（十六）健全经费投入机制。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六、加强职业教育办学质量督导评价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（十七）建立健全职业教育质量评价和督导评估制度。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（十八）支持组建国家职业教育指导咨询委员会。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七、做好改革组织实施工作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（十九）加强党对职业教育工作的全面领导。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bookmarkStart w:id="0" w:name="_GoBack"/>
      <w:bookmarkEnd w:id="0"/>
      <w:r>
        <w:rPr>
          <w:rFonts w:hint="eastAsia"/>
          <w:sz w:val="24"/>
          <w:szCs w:val="24"/>
        </w:rPr>
        <w:t>　　（二十）完善国务院职业教育工作部际联席会议制度。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62F48"/>
    <w:rsid w:val="0506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2019-02-25T08:51:00Z</dcterms:created>
  <dc:creator>Administrator</dc:creator>
  <cp:lastModifiedBy>Administrator</cp:lastModifiedBy>
  <dcterms:modified xsi:type="dcterms:W3CDTF">2019-02-25T08:55:27Z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